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01F" w:rsidRPr="00045B94" w:rsidRDefault="0086601F" w:rsidP="0086601F">
      <w:pPr>
        <w:snapToGrid w:val="0"/>
        <w:spacing w:line="640" w:lineRule="atLeast"/>
        <w:rPr>
          <w:rFonts w:ascii="黑体" w:eastAsia="黑体" w:hAnsi="黑体"/>
          <w:color w:val="000000"/>
          <w:sz w:val="32"/>
          <w:szCs w:val="32"/>
        </w:rPr>
      </w:pPr>
      <w:r w:rsidRPr="00045B94">
        <w:rPr>
          <w:rFonts w:ascii="黑体" w:eastAsia="黑体" w:hAnsi="黑体" w:hint="eastAsia"/>
          <w:color w:val="000000"/>
          <w:sz w:val="32"/>
          <w:szCs w:val="32"/>
        </w:rPr>
        <w:t>附件</w:t>
      </w:r>
    </w:p>
    <w:p w:rsidR="0086601F" w:rsidRPr="00045B94" w:rsidRDefault="0086601F" w:rsidP="0086601F">
      <w:pPr>
        <w:snapToGrid w:val="0"/>
        <w:spacing w:line="640" w:lineRule="atLeast"/>
        <w:rPr>
          <w:rFonts w:ascii="仿宋_GB2312" w:eastAsia="仿宋_GB2312"/>
          <w:color w:val="000000"/>
          <w:sz w:val="32"/>
          <w:szCs w:val="32"/>
        </w:rPr>
      </w:pPr>
    </w:p>
    <w:p w:rsidR="0086601F" w:rsidRPr="00045B94" w:rsidRDefault="0086601F" w:rsidP="0086601F">
      <w:pPr>
        <w:snapToGrid w:val="0"/>
        <w:spacing w:line="640" w:lineRule="atLeast"/>
        <w:jc w:val="center"/>
        <w:rPr>
          <w:rFonts w:ascii="方正小标宋简体" w:eastAsia="方正小标宋简体"/>
          <w:color w:val="000000"/>
          <w:sz w:val="44"/>
          <w:szCs w:val="44"/>
        </w:rPr>
      </w:pPr>
      <w:proofErr w:type="gramStart"/>
      <w:r w:rsidRPr="00045B94">
        <w:rPr>
          <w:rFonts w:ascii="方正小标宋简体" w:eastAsia="方正小标宋简体" w:hint="eastAsia"/>
          <w:color w:val="000000"/>
          <w:sz w:val="44"/>
          <w:szCs w:val="44"/>
        </w:rPr>
        <w:t>《</w:t>
      </w:r>
      <w:proofErr w:type="gramEnd"/>
      <w:r w:rsidRPr="00045B94">
        <w:rPr>
          <w:rFonts w:ascii="方正小标宋简体" w:eastAsia="方正小标宋简体" w:hint="eastAsia"/>
          <w:color w:val="000000"/>
          <w:sz w:val="44"/>
          <w:szCs w:val="44"/>
        </w:rPr>
        <w:t>严寒和寒冷地区居住建筑节能（75%）</w:t>
      </w:r>
    </w:p>
    <w:p w:rsidR="0086601F" w:rsidRPr="00045B94" w:rsidRDefault="0086601F" w:rsidP="0086601F">
      <w:pPr>
        <w:snapToGrid w:val="0"/>
        <w:spacing w:line="640" w:lineRule="atLeast"/>
        <w:jc w:val="center"/>
        <w:rPr>
          <w:rFonts w:ascii="方正小标宋简体" w:eastAsia="方正小标宋简体"/>
          <w:color w:val="000000"/>
          <w:sz w:val="44"/>
          <w:szCs w:val="44"/>
        </w:rPr>
      </w:pPr>
      <w:r w:rsidRPr="00045B94">
        <w:rPr>
          <w:rFonts w:ascii="方正小标宋简体" w:eastAsia="方正小标宋简体" w:hint="eastAsia"/>
          <w:color w:val="000000"/>
          <w:sz w:val="44"/>
          <w:szCs w:val="44"/>
        </w:rPr>
        <w:t>设计标准</w:t>
      </w:r>
      <w:proofErr w:type="gramStart"/>
      <w:r w:rsidRPr="00045B94">
        <w:rPr>
          <w:rFonts w:ascii="方正小标宋简体" w:eastAsia="方正小标宋简体" w:hint="eastAsia"/>
          <w:color w:val="000000"/>
          <w:sz w:val="44"/>
          <w:szCs w:val="44"/>
        </w:rPr>
        <w:t>》</w:t>
      </w:r>
      <w:proofErr w:type="gramEnd"/>
      <w:r w:rsidRPr="00045B94">
        <w:rPr>
          <w:rFonts w:ascii="方正小标宋简体" w:eastAsia="方正小标宋简体" w:hint="eastAsia"/>
          <w:color w:val="000000"/>
          <w:sz w:val="44"/>
          <w:szCs w:val="44"/>
        </w:rPr>
        <w:t>修订内容</w:t>
      </w:r>
    </w:p>
    <w:p w:rsidR="0086601F" w:rsidRPr="00045B94" w:rsidRDefault="0086601F" w:rsidP="0086601F">
      <w:pPr>
        <w:snapToGrid w:val="0"/>
        <w:spacing w:line="640" w:lineRule="atLeast"/>
        <w:rPr>
          <w:rFonts w:ascii="仿宋_GB2312" w:eastAsia="仿宋_GB2312"/>
          <w:color w:val="000000"/>
          <w:sz w:val="32"/>
          <w:szCs w:val="32"/>
        </w:rPr>
      </w:pPr>
    </w:p>
    <w:p w:rsidR="0086601F" w:rsidRPr="00045B94" w:rsidRDefault="0086601F" w:rsidP="0086601F">
      <w:pPr>
        <w:snapToGrid w:val="0"/>
        <w:spacing w:line="640" w:lineRule="atLeast"/>
        <w:ind w:firstLineChars="200" w:firstLine="640"/>
        <w:rPr>
          <w:rFonts w:ascii="仿宋_GB2312" w:eastAsia="仿宋_GB2312"/>
          <w:color w:val="000000"/>
          <w:sz w:val="32"/>
          <w:szCs w:val="32"/>
        </w:rPr>
      </w:pPr>
      <w:r w:rsidRPr="00045B94">
        <w:rPr>
          <w:rFonts w:ascii="黑体" w:eastAsia="黑体" w:hAnsi="黑体" w:hint="eastAsia"/>
          <w:color w:val="000000"/>
          <w:sz w:val="32"/>
          <w:szCs w:val="32"/>
        </w:rPr>
        <w:t>一、居住建筑体形系数和围护结构热工性能参数限值。</w:t>
      </w:r>
      <w:r w:rsidRPr="00045B94">
        <w:rPr>
          <w:rFonts w:ascii="仿宋_GB2312" w:eastAsia="仿宋_GB2312" w:hint="eastAsia"/>
          <w:color w:val="000000"/>
          <w:sz w:val="32"/>
          <w:szCs w:val="32"/>
        </w:rPr>
        <w:t>围护结构热工性能参数限值“行业标准”仅规定了层数≤3层和&gt; 4层，“地方标准”则规定了≤3层、4～8层和&gt;9层较为合理，故除≤3层按“行业标准”规定执行外，其余4～8层和&gt;9层按“地方标准”规定执行；“地方标准”中居住建筑体形系数S限值修订为下表并执行。</w:t>
      </w:r>
    </w:p>
    <w:p w:rsidR="0086601F" w:rsidRPr="00045B94" w:rsidRDefault="0086601F" w:rsidP="0086601F">
      <w:pPr>
        <w:snapToGrid w:val="0"/>
        <w:spacing w:line="640" w:lineRule="atLeast"/>
        <w:jc w:val="center"/>
        <w:rPr>
          <w:rFonts w:ascii="黑体" w:eastAsia="黑体" w:hAnsi="黑体"/>
          <w:color w:val="000000"/>
          <w:sz w:val="32"/>
          <w:szCs w:val="32"/>
        </w:rPr>
      </w:pPr>
      <w:r w:rsidRPr="00045B94">
        <w:rPr>
          <w:rFonts w:ascii="黑体" w:eastAsia="黑体" w:hAnsi="黑体" w:hint="eastAsia"/>
          <w:color w:val="000000"/>
          <w:sz w:val="32"/>
          <w:szCs w:val="32"/>
        </w:rPr>
        <w:t>表4.1.3  采暖居住建筑的体形系数S限值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3"/>
        <w:gridCol w:w="2196"/>
        <w:gridCol w:w="2202"/>
        <w:gridCol w:w="2196"/>
      </w:tblGrid>
      <w:tr w:rsidR="0086601F" w:rsidRPr="00045B94" w:rsidTr="004C35A4">
        <w:tc>
          <w:tcPr>
            <w:tcW w:w="2250" w:type="dxa"/>
            <w:vMerge w:val="restart"/>
            <w:shd w:val="clear" w:color="auto" w:fill="auto"/>
          </w:tcPr>
          <w:p w:rsidR="0086601F" w:rsidRPr="00045B94" w:rsidRDefault="0086601F" w:rsidP="004C35A4">
            <w:pPr>
              <w:snapToGrid w:val="0"/>
              <w:spacing w:line="640" w:lineRule="atLeast"/>
              <w:jc w:val="center"/>
              <w:rPr>
                <w:rFonts w:ascii="黑体" w:eastAsia="黑体" w:hAnsi="黑体"/>
                <w:color w:val="000000"/>
                <w:sz w:val="32"/>
                <w:szCs w:val="32"/>
              </w:rPr>
            </w:pPr>
          </w:p>
        </w:tc>
        <w:tc>
          <w:tcPr>
            <w:tcW w:w="6753" w:type="dxa"/>
            <w:gridSpan w:val="3"/>
            <w:shd w:val="clear" w:color="auto" w:fill="auto"/>
          </w:tcPr>
          <w:p w:rsidR="0086601F" w:rsidRPr="00045B94" w:rsidRDefault="0086601F" w:rsidP="004C35A4">
            <w:pPr>
              <w:snapToGrid w:val="0"/>
              <w:spacing w:line="640" w:lineRule="atLeast"/>
              <w:jc w:val="center"/>
              <w:rPr>
                <w:rFonts w:ascii="黑体" w:eastAsia="黑体" w:hAnsi="黑体"/>
                <w:color w:val="000000"/>
                <w:sz w:val="32"/>
                <w:szCs w:val="32"/>
              </w:rPr>
            </w:pPr>
            <w:r w:rsidRPr="00045B94">
              <w:rPr>
                <w:rFonts w:ascii="仿宋_GB2312" w:eastAsia="仿宋_GB2312" w:hint="eastAsia"/>
                <w:color w:val="000000"/>
                <w:sz w:val="32"/>
                <w:szCs w:val="32"/>
              </w:rPr>
              <w:t>建筑层数</w:t>
            </w:r>
          </w:p>
        </w:tc>
      </w:tr>
      <w:tr w:rsidR="0086601F" w:rsidRPr="00045B94" w:rsidTr="004C35A4">
        <w:tc>
          <w:tcPr>
            <w:tcW w:w="2250" w:type="dxa"/>
            <w:vMerge/>
            <w:shd w:val="clear" w:color="auto" w:fill="auto"/>
          </w:tcPr>
          <w:p w:rsidR="0086601F" w:rsidRPr="00045B94" w:rsidRDefault="0086601F" w:rsidP="004C35A4">
            <w:pPr>
              <w:snapToGrid w:val="0"/>
              <w:spacing w:line="640" w:lineRule="atLeast"/>
              <w:jc w:val="center"/>
              <w:rPr>
                <w:rFonts w:ascii="黑体" w:eastAsia="黑体" w:hAnsi="黑体"/>
                <w:color w:val="000000"/>
                <w:sz w:val="32"/>
                <w:szCs w:val="32"/>
              </w:rPr>
            </w:pPr>
          </w:p>
        </w:tc>
        <w:tc>
          <w:tcPr>
            <w:tcW w:w="2251" w:type="dxa"/>
            <w:shd w:val="clear" w:color="auto" w:fill="auto"/>
            <w:vAlign w:val="center"/>
          </w:tcPr>
          <w:p w:rsidR="0086601F" w:rsidRPr="00045B94" w:rsidRDefault="0086601F" w:rsidP="004C35A4">
            <w:pPr>
              <w:snapToGrid w:val="0"/>
              <w:spacing w:line="240" w:lineRule="atLeast"/>
              <w:jc w:val="center"/>
              <w:rPr>
                <w:rFonts w:ascii="仿宋_GB2312" w:eastAsia="仿宋_GB2312"/>
                <w:color w:val="000000"/>
                <w:sz w:val="32"/>
                <w:szCs w:val="32"/>
              </w:rPr>
            </w:pPr>
            <w:r w:rsidRPr="00045B94">
              <w:rPr>
                <w:rFonts w:ascii="仿宋_GB2312" w:eastAsia="仿宋_GB2312" w:hint="eastAsia"/>
                <w:color w:val="000000"/>
                <w:sz w:val="32"/>
                <w:szCs w:val="32"/>
              </w:rPr>
              <w:t>≤3层</w:t>
            </w:r>
          </w:p>
        </w:tc>
        <w:tc>
          <w:tcPr>
            <w:tcW w:w="2251" w:type="dxa"/>
            <w:shd w:val="clear" w:color="auto" w:fill="auto"/>
            <w:vAlign w:val="center"/>
          </w:tcPr>
          <w:p w:rsidR="0086601F" w:rsidRPr="00045B94" w:rsidRDefault="0086601F" w:rsidP="004C35A4">
            <w:pPr>
              <w:snapToGrid w:val="0"/>
              <w:spacing w:line="240" w:lineRule="atLeast"/>
              <w:jc w:val="center"/>
              <w:rPr>
                <w:rFonts w:ascii="仿宋_GB2312" w:eastAsia="仿宋_GB2312"/>
                <w:color w:val="000000"/>
                <w:sz w:val="32"/>
                <w:szCs w:val="32"/>
              </w:rPr>
            </w:pPr>
            <w:r w:rsidRPr="00045B94">
              <w:rPr>
                <w:rFonts w:ascii="仿宋_GB2312" w:eastAsia="仿宋_GB2312" w:hint="eastAsia"/>
                <w:color w:val="000000"/>
                <w:sz w:val="32"/>
                <w:szCs w:val="32"/>
              </w:rPr>
              <w:t>（4～8）层</w:t>
            </w:r>
          </w:p>
        </w:tc>
        <w:tc>
          <w:tcPr>
            <w:tcW w:w="2251" w:type="dxa"/>
            <w:shd w:val="clear" w:color="auto" w:fill="auto"/>
            <w:vAlign w:val="center"/>
          </w:tcPr>
          <w:p w:rsidR="0086601F" w:rsidRPr="00045B94" w:rsidRDefault="0086601F" w:rsidP="004C35A4">
            <w:pPr>
              <w:snapToGrid w:val="0"/>
              <w:spacing w:line="240" w:lineRule="atLeast"/>
              <w:jc w:val="center"/>
              <w:rPr>
                <w:rFonts w:ascii="仿宋_GB2312" w:eastAsia="仿宋_GB2312"/>
                <w:color w:val="000000"/>
                <w:sz w:val="32"/>
                <w:szCs w:val="32"/>
              </w:rPr>
            </w:pPr>
            <w:r w:rsidRPr="00045B94">
              <w:rPr>
                <w:rFonts w:ascii="仿宋_GB2312" w:eastAsia="仿宋_GB2312" w:hint="eastAsia"/>
                <w:color w:val="000000"/>
                <w:sz w:val="32"/>
                <w:szCs w:val="32"/>
              </w:rPr>
              <w:t>≥9层</w:t>
            </w:r>
          </w:p>
        </w:tc>
      </w:tr>
      <w:tr w:rsidR="0086601F" w:rsidRPr="00045B94" w:rsidTr="004C35A4">
        <w:tc>
          <w:tcPr>
            <w:tcW w:w="2250" w:type="dxa"/>
            <w:shd w:val="clear" w:color="auto" w:fill="auto"/>
            <w:vAlign w:val="center"/>
          </w:tcPr>
          <w:p w:rsidR="0086601F" w:rsidRPr="00045B94" w:rsidRDefault="0086601F" w:rsidP="004C35A4">
            <w:pPr>
              <w:snapToGrid w:val="0"/>
              <w:spacing w:line="240" w:lineRule="atLeast"/>
              <w:jc w:val="center"/>
              <w:rPr>
                <w:rFonts w:ascii="仿宋_GB2312" w:eastAsia="仿宋_GB2312"/>
                <w:color w:val="000000"/>
                <w:sz w:val="32"/>
                <w:szCs w:val="32"/>
              </w:rPr>
            </w:pPr>
            <w:r w:rsidRPr="00045B94">
              <w:rPr>
                <w:rFonts w:ascii="仿宋_GB2312" w:eastAsia="仿宋_GB2312" w:hint="eastAsia"/>
                <w:color w:val="000000"/>
                <w:sz w:val="32"/>
                <w:szCs w:val="32"/>
              </w:rPr>
              <w:t>严寒地区</w:t>
            </w:r>
          </w:p>
        </w:tc>
        <w:tc>
          <w:tcPr>
            <w:tcW w:w="2251" w:type="dxa"/>
            <w:shd w:val="clear" w:color="auto" w:fill="auto"/>
            <w:vAlign w:val="center"/>
          </w:tcPr>
          <w:p w:rsidR="0086601F" w:rsidRPr="00045B94" w:rsidRDefault="0086601F" w:rsidP="004C35A4">
            <w:pPr>
              <w:snapToGrid w:val="0"/>
              <w:spacing w:line="240" w:lineRule="atLeast"/>
              <w:jc w:val="center"/>
              <w:rPr>
                <w:rFonts w:ascii="仿宋_GB2312" w:eastAsia="仿宋_GB2312"/>
                <w:color w:val="000000"/>
                <w:sz w:val="32"/>
                <w:szCs w:val="32"/>
              </w:rPr>
            </w:pPr>
            <w:r w:rsidRPr="00045B94">
              <w:rPr>
                <w:rFonts w:ascii="仿宋_GB2312" w:eastAsia="仿宋_GB2312" w:hint="eastAsia"/>
                <w:color w:val="000000"/>
                <w:sz w:val="32"/>
                <w:szCs w:val="32"/>
              </w:rPr>
              <w:t>0.55</w:t>
            </w:r>
          </w:p>
        </w:tc>
        <w:tc>
          <w:tcPr>
            <w:tcW w:w="2251" w:type="dxa"/>
            <w:shd w:val="clear" w:color="auto" w:fill="auto"/>
            <w:vAlign w:val="center"/>
          </w:tcPr>
          <w:p w:rsidR="0086601F" w:rsidRPr="00045B94" w:rsidRDefault="0086601F" w:rsidP="004C35A4">
            <w:pPr>
              <w:snapToGrid w:val="0"/>
              <w:spacing w:line="240" w:lineRule="atLeast"/>
              <w:jc w:val="center"/>
              <w:rPr>
                <w:rFonts w:ascii="仿宋_GB2312" w:eastAsia="仿宋_GB2312"/>
                <w:color w:val="000000"/>
                <w:sz w:val="32"/>
                <w:szCs w:val="32"/>
              </w:rPr>
            </w:pPr>
            <w:r w:rsidRPr="00045B94">
              <w:rPr>
                <w:rFonts w:ascii="仿宋_GB2312" w:eastAsia="仿宋_GB2312" w:hint="eastAsia"/>
                <w:color w:val="000000"/>
                <w:sz w:val="32"/>
                <w:szCs w:val="32"/>
              </w:rPr>
              <w:t>0.30</w:t>
            </w:r>
          </w:p>
        </w:tc>
        <w:tc>
          <w:tcPr>
            <w:tcW w:w="2251" w:type="dxa"/>
            <w:shd w:val="clear" w:color="auto" w:fill="auto"/>
            <w:vAlign w:val="center"/>
          </w:tcPr>
          <w:p w:rsidR="0086601F" w:rsidRPr="00045B94" w:rsidRDefault="0086601F" w:rsidP="004C35A4">
            <w:pPr>
              <w:snapToGrid w:val="0"/>
              <w:spacing w:line="240" w:lineRule="atLeast"/>
              <w:jc w:val="center"/>
              <w:rPr>
                <w:rFonts w:ascii="仿宋_GB2312" w:eastAsia="仿宋_GB2312"/>
                <w:color w:val="000000"/>
                <w:sz w:val="32"/>
                <w:szCs w:val="32"/>
              </w:rPr>
            </w:pPr>
            <w:r w:rsidRPr="00045B94">
              <w:rPr>
                <w:rFonts w:ascii="仿宋_GB2312" w:eastAsia="仿宋_GB2312" w:hint="eastAsia"/>
                <w:color w:val="000000"/>
                <w:sz w:val="32"/>
                <w:szCs w:val="32"/>
              </w:rPr>
              <w:t>0.28</w:t>
            </w:r>
          </w:p>
        </w:tc>
      </w:tr>
      <w:tr w:rsidR="0086601F" w:rsidRPr="00045B94" w:rsidTr="004C35A4">
        <w:tc>
          <w:tcPr>
            <w:tcW w:w="2250" w:type="dxa"/>
            <w:shd w:val="clear" w:color="auto" w:fill="auto"/>
            <w:vAlign w:val="center"/>
          </w:tcPr>
          <w:p w:rsidR="0086601F" w:rsidRPr="00045B94" w:rsidRDefault="0086601F" w:rsidP="004C35A4">
            <w:pPr>
              <w:snapToGrid w:val="0"/>
              <w:spacing w:line="240" w:lineRule="atLeast"/>
              <w:jc w:val="center"/>
              <w:rPr>
                <w:rFonts w:ascii="仿宋_GB2312" w:eastAsia="仿宋_GB2312"/>
                <w:color w:val="000000"/>
                <w:sz w:val="32"/>
                <w:szCs w:val="32"/>
              </w:rPr>
            </w:pPr>
            <w:r w:rsidRPr="00045B94">
              <w:rPr>
                <w:rFonts w:ascii="仿宋_GB2312" w:eastAsia="仿宋_GB2312" w:hint="eastAsia"/>
                <w:color w:val="000000"/>
                <w:sz w:val="32"/>
                <w:szCs w:val="32"/>
              </w:rPr>
              <w:t>寒冷地区</w:t>
            </w:r>
          </w:p>
        </w:tc>
        <w:tc>
          <w:tcPr>
            <w:tcW w:w="2251" w:type="dxa"/>
            <w:shd w:val="clear" w:color="auto" w:fill="auto"/>
            <w:vAlign w:val="center"/>
          </w:tcPr>
          <w:p w:rsidR="0086601F" w:rsidRPr="00045B94" w:rsidRDefault="0086601F" w:rsidP="004C35A4">
            <w:pPr>
              <w:snapToGrid w:val="0"/>
              <w:spacing w:line="240" w:lineRule="atLeast"/>
              <w:jc w:val="center"/>
              <w:rPr>
                <w:rFonts w:ascii="仿宋_GB2312" w:eastAsia="仿宋_GB2312"/>
                <w:color w:val="000000"/>
                <w:sz w:val="32"/>
                <w:szCs w:val="32"/>
              </w:rPr>
            </w:pPr>
            <w:r w:rsidRPr="00045B94">
              <w:rPr>
                <w:rFonts w:ascii="仿宋_GB2312" w:eastAsia="仿宋_GB2312" w:hint="eastAsia"/>
                <w:color w:val="000000"/>
                <w:sz w:val="32"/>
                <w:szCs w:val="32"/>
              </w:rPr>
              <w:t>0.57</w:t>
            </w:r>
          </w:p>
        </w:tc>
        <w:tc>
          <w:tcPr>
            <w:tcW w:w="2251" w:type="dxa"/>
            <w:shd w:val="clear" w:color="auto" w:fill="auto"/>
            <w:vAlign w:val="center"/>
          </w:tcPr>
          <w:p w:rsidR="0086601F" w:rsidRPr="00045B94" w:rsidRDefault="0086601F" w:rsidP="004C35A4">
            <w:pPr>
              <w:snapToGrid w:val="0"/>
              <w:spacing w:line="240" w:lineRule="atLeast"/>
              <w:jc w:val="center"/>
              <w:rPr>
                <w:rFonts w:ascii="仿宋_GB2312" w:eastAsia="仿宋_GB2312"/>
                <w:color w:val="000000"/>
                <w:sz w:val="32"/>
                <w:szCs w:val="32"/>
              </w:rPr>
            </w:pPr>
            <w:r w:rsidRPr="00045B94">
              <w:rPr>
                <w:rFonts w:ascii="仿宋_GB2312" w:eastAsia="仿宋_GB2312" w:hint="eastAsia"/>
                <w:color w:val="000000"/>
                <w:sz w:val="32"/>
                <w:szCs w:val="32"/>
              </w:rPr>
              <w:t>0.33</w:t>
            </w:r>
          </w:p>
        </w:tc>
        <w:tc>
          <w:tcPr>
            <w:tcW w:w="2251" w:type="dxa"/>
            <w:shd w:val="clear" w:color="auto" w:fill="auto"/>
            <w:vAlign w:val="center"/>
          </w:tcPr>
          <w:p w:rsidR="0086601F" w:rsidRPr="00045B94" w:rsidRDefault="0086601F" w:rsidP="004C35A4">
            <w:pPr>
              <w:snapToGrid w:val="0"/>
              <w:spacing w:line="240" w:lineRule="atLeast"/>
              <w:jc w:val="center"/>
              <w:rPr>
                <w:rFonts w:ascii="仿宋_GB2312" w:eastAsia="仿宋_GB2312"/>
                <w:color w:val="000000"/>
                <w:sz w:val="32"/>
                <w:szCs w:val="32"/>
              </w:rPr>
            </w:pPr>
            <w:r w:rsidRPr="00045B94">
              <w:rPr>
                <w:rFonts w:ascii="仿宋_GB2312" w:eastAsia="仿宋_GB2312" w:hint="eastAsia"/>
                <w:color w:val="000000"/>
                <w:sz w:val="32"/>
                <w:szCs w:val="32"/>
              </w:rPr>
              <w:t>0.30</w:t>
            </w:r>
          </w:p>
        </w:tc>
      </w:tr>
    </w:tbl>
    <w:p w:rsidR="0086601F" w:rsidRPr="00045B94" w:rsidRDefault="0086601F" w:rsidP="0086601F">
      <w:pPr>
        <w:snapToGrid w:val="0"/>
        <w:spacing w:line="640" w:lineRule="atLeast"/>
        <w:ind w:firstLineChars="200" w:firstLine="640"/>
        <w:rPr>
          <w:rFonts w:ascii="仿宋_GB2312" w:eastAsia="仿宋_GB2312"/>
          <w:color w:val="000000"/>
          <w:sz w:val="32"/>
          <w:szCs w:val="32"/>
        </w:rPr>
      </w:pPr>
      <w:r w:rsidRPr="00045B94">
        <w:rPr>
          <w:rFonts w:ascii="黑体" w:eastAsia="黑体" w:hAnsi="黑体" w:hint="eastAsia"/>
          <w:color w:val="000000"/>
          <w:sz w:val="32"/>
          <w:szCs w:val="32"/>
        </w:rPr>
        <w:t>二、围护结构热工性能的权衡判断。</w:t>
      </w:r>
      <w:r w:rsidRPr="00045B94">
        <w:rPr>
          <w:rFonts w:ascii="仿宋_GB2312" w:eastAsia="仿宋_GB2312" w:hint="eastAsia"/>
          <w:color w:val="000000"/>
          <w:sz w:val="32"/>
          <w:szCs w:val="32"/>
        </w:rPr>
        <w:t>“行业标准”采用“动态计算法”，“地方标准”采用“稳态计算法”，动态计算方法更为合理。</w:t>
      </w:r>
      <w:proofErr w:type="gramStart"/>
      <w:r w:rsidRPr="00045B94">
        <w:rPr>
          <w:rFonts w:ascii="仿宋_GB2312" w:eastAsia="仿宋_GB2312" w:hint="eastAsia"/>
          <w:color w:val="000000"/>
          <w:sz w:val="32"/>
          <w:szCs w:val="32"/>
        </w:rPr>
        <w:t>故结合</w:t>
      </w:r>
      <w:proofErr w:type="gramEnd"/>
      <w:r w:rsidRPr="00045B94">
        <w:rPr>
          <w:rFonts w:ascii="仿宋_GB2312" w:eastAsia="仿宋_GB2312" w:hint="eastAsia"/>
          <w:color w:val="000000"/>
          <w:sz w:val="32"/>
          <w:szCs w:val="32"/>
        </w:rPr>
        <w:t>“行业标准”相对“严墙宽窗”与“地方标准”相对“宽墙严窗”的围护结构热工性能参数限值设置原则，当建</w:t>
      </w:r>
      <w:r w:rsidRPr="00045B94">
        <w:rPr>
          <w:rFonts w:ascii="仿宋_GB2312" w:eastAsia="仿宋_GB2312" w:hint="eastAsia"/>
          <w:color w:val="000000"/>
          <w:sz w:val="32"/>
          <w:szCs w:val="32"/>
        </w:rPr>
        <w:lastRenderedPageBreak/>
        <w:t>筑的体形系数和南向外窗</w:t>
      </w:r>
      <w:proofErr w:type="gramStart"/>
      <w:r w:rsidRPr="00045B94">
        <w:rPr>
          <w:rFonts w:ascii="仿宋_GB2312" w:eastAsia="仿宋_GB2312" w:hint="eastAsia"/>
          <w:color w:val="000000"/>
          <w:sz w:val="32"/>
          <w:szCs w:val="32"/>
        </w:rPr>
        <w:t>窗</w:t>
      </w:r>
      <w:proofErr w:type="gramEnd"/>
      <w:r w:rsidRPr="00045B94">
        <w:rPr>
          <w:rFonts w:ascii="仿宋_GB2312" w:eastAsia="仿宋_GB2312" w:hint="eastAsia"/>
          <w:color w:val="000000"/>
          <w:sz w:val="32"/>
          <w:szCs w:val="32"/>
        </w:rPr>
        <w:t>墙比不满足“地方标准”要求、或建筑围护结构热工性能参数与“行业标准”和“地方标准”限值要求相比均不满足时，必须按“行业标准”动态计算进行权衡判断，且必须满足“行业标准”规定的权衡判断基本要求。其余情况按“地方标准”规定执行。</w:t>
      </w:r>
    </w:p>
    <w:p w:rsidR="0086601F" w:rsidRPr="00045B94" w:rsidRDefault="0086601F" w:rsidP="0086601F">
      <w:pPr>
        <w:snapToGrid w:val="0"/>
        <w:spacing w:line="640" w:lineRule="atLeast"/>
        <w:ind w:firstLineChars="200" w:firstLine="640"/>
        <w:rPr>
          <w:rFonts w:ascii="黑体" w:eastAsia="黑体" w:hAnsi="黑体"/>
          <w:color w:val="000000"/>
          <w:sz w:val="32"/>
          <w:szCs w:val="32"/>
        </w:rPr>
      </w:pPr>
      <w:r w:rsidRPr="00045B94">
        <w:rPr>
          <w:rFonts w:ascii="黑体" w:eastAsia="黑体" w:hAnsi="黑体" w:hint="eastAsia"/>
          <w:color w:val="000000"/>
          <w:sz w:val="32"/>
          <w:szCs w:val="32"/>
        </w:rPr>
        <w:t>三、条文修改意见</w:t>
      </w:r>
    </w:p>
    <w:p w:rsidR="0086601F" w:rsidRPr="00045B94" w:rsidRDefault="0086601F" w:rsidP="0086601F">
      <w:pPr>
        <w:snapToGrid w:val="0"/>
        <w:spacing w:line="640" w:lineRule="atLeast"/>
        <w:ind w:firstLineChars="200" w:firstLine="640"/>
        <w:rPr>
          <w:rFonts w:ascii="仿宋_GB2312" w:eastAsia="仿宋_GB2312"/>
          <w:color w:val="000000"/>
          <w:sz w:val="32"/>
          <w:szCs w:val="32"/>
        </w:rPr>
      </w:pPr>
      <w:r w:rsidRPr="00045B94">
        <w:rPr>
          <w:rFonts w:ascii="仿宋_GB2312" w:eastAsia="仿宋_GB2312" w:hint="eastAsia"/>
          <w:color w:val="000000"/>
          <w:sz w:val="32"/>
          <w:szCs w:val="32"/>
        </w:rPr>
        <w:t>（1）围护结构热工性能参数限值，当外窗传热系数不满足“地方标准”规定时，可加强屋面和外墙保温隔热性能，按“行业标准”参数限值执行。</w:t>
      </w:r>
    </w:p>
    <w:p w:rsidR="0086601F" w:rsidRPr="00045B94" w:rsidRDefault="0086601F" w:rsidP="0086601F">
      <w:pPr>
        <w:snapToGrid w:val="0"/>
        <w:spacing w:line="640" w:lineRule="atLeast"/>
        <w:ind w:firstLineChars="200" w:firstLine="640"/>
        <w:rPr>
          <w:rFonts w:ascii="仿宋_GB2312" w:eastAsia="仿宋_GB2312"/>
          <w:color w:val="000000"/>
          <w:sz w:val="32"/>
          <w:szCs w:val="32"/>
        </w:rPr>
      </w:pPr>
      <w:r w:rsidRPr="00045B94">
        <w:rPr>
          <w:rFonts w:ascii="仿宋_GB2312" w:eastAsia="仿宋_GB2312" w:hint="eastAsia"/>
          <w:color w:val="000000"/>
          <w:sz w:val="32"/>
          <w:szCs w:val="32"/>
        </w:rPr>
        <w:t>（2）以下条款应</w:t>
      </w:r>
      <w:proofErr w:type="gramStart"/>
      <w:r w:rsidRPr="00045B94">
        <w:rPr>
          <w:rFonts w:ascii="仿宋_GB2312" w:eastAsia="仿宋_GB2312" w:hint="eastAsia"/>
          <w:color w:val="000000"/>
          <w:sz w:val="32"/>
          <w:szCs w:val="32"/>
        </w:rPr>
        <w:t>按行标执行</w:t>
      </w:r>
      <w:proofErr w:type="gramEnd"/>
      <w:r w:rsidRPr="00045B94">
        <w:rPr>
          <w:rFonts w:ascii="仿宋_GB2312" w:eastAsia="仿宋_GB2312" w:hint="eastAsia"/>
          <w:color w:val="000000"/>
          <w:sz w:val="32"/>
          <w:szCs w:val="32"/>
        </w:rPr>
        <w:t>：“地方标准”第5.2.3条（对应“行业标准”第5.2.1条）、“地方标准”第5.3.2条（对应“行业标准”第5.2.8条）、“地方标准”第5.5.3条中关于多联机制冷综合系数的规定（对应“行业标准”第5.4.3条）。</w:t>
      </w:r>
    </w:p>
    <w:p w:rsidR="0086601F" w:rsidRPr="00045B94" w:rsidRDefault="0086601F" w:rsidP="0086601F">
      <w:pPr>
        <w:snapToGrid w:val="0"/>
        <w:spacing w:line="640" w:lineRule="atLeast"/>
        <w:ind w:firstLineChars="200" w:firstLine="640"/>
        <w:rPr>
          <w:rFonts w:ascii="仿宋_GB2312" w:eastAsia="仿宋_GB2312"/>
          <w:color w:val="000000"/>
          <w:sz w:val="32"/>
          <w:szCs w:val="32"/>
        </w:rPr>
      </w:pPr>
      <w:r w:rsidRPr="00045B94">
        <w:rPr>
          <w:rFonts w:ascii="仿宋_GB2312" w:eastAsia="仿宋_GB2312" w:hint="eastAsia"/>
          <w:color w:val="000000"/>
          <w:sz w:val="32"/>
          <w:szCs w:val="32"/>
        </w:rPr>
        <w:t>（3）以下条款可按“行业标准”执行：“地方标准”第4.1.6条（对应“行业标准”第4.1.5条）。</w:t>
      </w:r>
    </w:p>
    <w:p w:rsidR="0086601F" w:rsidRPr="00045B94" w:rsidRDefault="0086601F" w:rsidP="0086601F">
      <w:pPr>
        <w:snapToGrid w:val="0"/>
        <w:spacing w:line="640" w:lineRule="atLeast"/>
        <w:rPr>
          <w:rFonts w:ascii="仿宋_GB2312" w:eastAsia="仿宋_GB2312"/>
          <w:color w:val="000000"/>
          <w:sz w:val="32"/>
          <w:szCs w:val="32"/>
        </w:rPr>
      </w:pPr>
    </w:p>
    <w:p w:rsidR="0086601F" w:rsidRPr="00045B94" w:rsidRDefault="0086601F" w:rsidP="0086601F">
      <w:pPr>
        <w:snapToGrid w:val="0"/>
        <w:spacing w:line="640" w:lineRule="atLeast"/>
        <w:rPr>
          <w:rFonts w:ascii="仿宋_GB2312" w:eastAsia="仿宋_GB2312"/>
          <w:color w:val="000000"/>
          <w:sz w:val="32"/>
          <w:szCs w:val="32"/>
        </w:rPr>
      </w:pPr>
    </w:p>
    <w:p w:rsidR="0086601F" w:rsidRPr="00045B94" w:rsidRDefault="0086601F" w:rsidP="0086601F">
      <w:pPr>
        <w:snapToGrid w:val="0"/>
        <w:spacing w:line="640" w:lineRule="atLeast"/>
        <w:rPr>
          <w:rFonts w:ascii="仿宋_GB2312" w:eastAsia="仿宋_GB2312"/>
          <w:color w:val="000000"/>
          <w:sz w:val="32"/>
          <w:szCs w:val="32"/>
        </w:rPr>
      </w:pPr>
    </w:p>
    <w:p w:rsidR="0086601F" w:rsidRPr="00045B94" w:rsidRDefault="0086601F" w:rsidP="0086601F">
      <w:pPr>
        <w:snapToGrid w:val="0"/>
        <w:spacing w:line="640" w:lineRule="atLeast"/>
        <w:rPr>
          <w:rFonts w:ascii="仿宋_GB2312" w:eastAsia="仿宋_GB2312"/>
          <w:color w:val="000000"/>
          <w:sz w:val="32"/>
          <w:szCs w:val="32"/>
        </w:rPr>
      </w:pPr>
    </w:p>
    <w:p w:rsidR="0086601F" w:rsidRPr="00045B94" w:rsidRDefault="0086601F" w:rsidP="0086601F">
      <w:pPr>
        <w:snapToGrid w:val="0"/>
        <w:spacing w:line="640" w:lineRule="atLeast"/>
        <w:rPr>
          <w:rFonts w:ascii="仿宋_GB2312" w:eastAsia="仿宋_GB2312"/>
          <w:color w:val="000000"/>
          <w:sz w:val="32"/>
          <w:szCs w:val="32"/>
        </w:rPr>
      </w:pPr>
    </w:p>
    <w:p w:rsidR="0086601F" w:rsidRPr="00045B94" w:rsidRDefault="0086601F" w:rsidP="0086601F">
      <w:pPr>
        <w:snapToGrid w:val="0"/>
        <w:spacing w:line="640" w:lineRule="atLeast"/>
        <w:rPr>
          <w:rFonts w:ascii="仿宋_GB2312" w:eastAsia="仿宋_GB2312"/>
          <w:color w:val="000000"/>
          <w:sz w:val="32"/>
          <w:szCs w:val="32"/>
        </w:rPr>
        <w:sectPr w:rsidR="0086601F" w:rsidRPr="00045B94" w:rsidSect="00045B94">
          <w:footerReference w:type="even" r:id="rId6"/>
          <w:footerReference w:type="default" r:id="rId7"/>
          <w:pgSz w:w="11906" w:h="16838" w:code="9"/>
          <w:pgMar w:top="1928" w:right="1531" w:bottom="1758" w:left="1588" w:header="851" w:footer="1503" w:gutter="0"/>
          <w:pgNumType w:fmt="numberInDash"/>
          <w:cols w:space="425"/>
          <w:docGrid w:type="lines" w:linePitch="312"/>
        </w:sectPr>
      </w:pPr>
    </w:p>
    <w:p w:rsidR="0086601F" w:rsidRPr="00AD58D7" w:rsidRDefault="0086601F" w:rsidP="0086601F">
      <w:pPr>
        <w:snapToGrid w:val="0"/>
        <w:spacing w:line="240" w:lineRule="atLeast"/>
        <w:rPr>
          <w:rFonts w:ascii="黑体" w:eastAsia="黑体" w:hAnsi="黑体"/>
          <w:sz w:val="32"/>
          <w:szCs w:val="32"/>
        </w:rPr>
      </w:pPr>
      <w:r w:rsidRPr="00AD58D7">
        <w:rPr>
          <w:rFonts w:ascii="黑体" w:eastAsia="黑体" w:hAnsi="黑体" w:hint="eastAsia"/>
          <w:sz w:val="32"/>
          <w:szCs w:val="32"/>
        </w:rPr>
        <w:lastRenderedPageBreak/>
        <w:t>附表</w:t>
      </w:r>
    </w:p>
    <w:p w:rsidR="0086601F" w:rsidRPr="00AD58D7" w:rsidRDefault="0086601F" w:rsidP="0086601F">
      <w:pPr>
        <w:snapToGrid w:val="0"/>
        <w:spacing w:line="240" w:lineRule="atLeast"/>
        <w:jc w:val="center"/>
        <w:rPr>
          <w:rFonts w:ascii="方正小标宋简体" w:eastAsia="方正小标宋简体"/>
          <w:sz w:val="44"/>
          <w:szCs w:val="44"/>
        </w:rPr>
      </w:pPr>
      <w:r w:rsidRPr="00AD58D7">
        <w:rPr>
          <w:rFonts w:ascii="方正小标宋简体" w:eastAsia="方正小标宋简体" w:hint="eastAsia"/>
          <w:sz w:val="44"/>
          <w:szCs w:val="44"/>
        </w:rPr>
        <w:t>《甘肃省严寒和寒冷地区居住建筑节能（75%）设计标准》修订表</w:t>
      </w:r>
    </w:p>
    <w:tbl>
      <w:tblPr>
        <w:tblW w:w="14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5"/>
        <w:gridCol w:w="1084"/>
        <w:gridCol w:w="5130"/>
        <w:gridCol w:w="6777"/>
        <w:gridCol w:w="709"/>
      </w:tblGrid>
      <w:tr w:rsidR="0086601F" w:rsidRPr="009D759E" w:rsidTr="004C35A4">
        <w:trPr>
          <w:trHeight w:val="480"/>
          <w:tblHeader/>
          <w:jc w:val="center"/>
        </w:trPr>
        <w:tc>
          <w:tcPr>
            <w:tcW w:w="725" w:type="dxa"/>
            <w:shd w:val="clear" w:color="auto" w:fill="auto"/>
            <w:vAlign w:val="center"/>
          </w:tcPr>
          <w:p w:rsidR="0086601F" w:rsidRPr="009D759E" w:rsidRDefault="0086601F" w:rsidP="004C35A4">
            <w:pPr>
              <w:snapToGrid w:val="0"/>
              <w:spacing w:line="240" w:lineRule="atLeast"/>
              <w:jc w:val="center"/>
              <w:rPr>
                <w:rFonts w:ascii="黑体" w:eastAsia="黑体" w:hAnsi="黑体"/>
                <w:sz w:val="24"/>
              </w:rPr>
            </w:pPr>
            <w:r w:rsidRPr="009D759E">
              <w:rPr>
                <w:rFonts w:ascii="黑体" w:eastAsia="黑体" w:hAnsi="黑体" w:hint="eastAsia"/>
                <w:sz w:val="24"/>
              </w:rPr>
              <w:t>页次</w:t>
            </w:r>
          </w:p>
        </w:tc>
        <w:tc>
          <w:tcPr>
            <w:tcW w:w="1084" w:type="dxa"/>
            <w:shd w:val="clear" w:color="auto" w:fill="auto"/>
            <w:vAlign w:val="center"/>
          </w:tcPr>
          <w:p w:rsidR="0086601F" w:rsidRPr="009D759E" w:rsidRDefault="0086601F" w:rsidP="004C35A4">
            <w:pPr>
              <w:snapToGrid w:val="0"/>
              <w:spacing w:line="240" w:lineRule="atLeast"/>
              <w:jc w:val="center"/>
              <w:rPr>
                <w:rFonts w:ascii="黑体" w:eastAsia="黑体" w:hAnsi="黑体"/>
                <w:sz w:val="24"/>
              </w:rPr>
            </w:pPr>
            <w:r w:rsidRPr="009D759E">
              <w:rPr>
                <w:rFonts w:ascii="黑体" w:eastAsia="黑体" w:hAnsi="黑体" w:hint="eastAsia"/>
                <w:sz w:val="24"/>
              </w:rPr>
              <w:t>条文号</w:t>
            </w:r>
          </w:p>
        </w:tc>
        <w:tc>
          <w:tcPr>
            <w:tcW w:w="5130" w:type="dxa"/>
            <w:shd w:val="clear" w:color="auto" w:fill="auto"/>
            <w:vAlign w:val="center"/>
          </w:tcPr>
          <w:p w:rsidR="0086601F" w:rsidRPr="009D759E" w:rsidRDefault="0086601F" w:rsidP="004C35A4">
            <w:pPr>
              <w:snapToGrid w:val="0"/>
              <w:spacing w:line="240" w:lineRule="atLeast"/>
              <w:jc w:val="center"/>
              <w:rPr>
                <w:rFonts w:ascii="黑体" w:eastAsia="黑体" w:hAnsi="黑体"/>
                <w:sz w:val="24"/>
              </w:rPr>
            </w:pPr>
            <w:r w:rsidRPr="009D759E">
              <w:rPr>
                <w:rFonts w:ascii="黑体" w:eastAsia="黑体" w:hAnsi="黑体" w:hint="eastAsia"/>
                <w:sz w:val="24"/>
              </w:rPr>
              <w:t>原文</w:t>
            </w:r>
          </w:p>
        </w:tc>
        <w:tc>
          <w:tcPr>
            <w:tcW w:w="6777" w:type="dxa"/>
            <w:shd w:val="clear" w:color="auto" w:fill="auto"/>
            <w:vAlign w:val="center"/>
          </w:tcPr>
          <w:p w:rsidR="0086601F" w:rsidRPr="009D759E" w:rsidRDefault="0086601F" w:rsidP="004C35A4">
            <w:pPr>
              <w:snapToGrid w:val="0"/>
              <w:spacing w:line="240" w:lineRule="atLeast"/>
              <w:jc w:val="center"/>
              <w:rPr>
                <w:rFonts w:ascii="黑体" w:eastAsia="黑体" w:hAnsi="黑体"/>
                <w:sz w:val="24"/>
              </w:rPr>
            </w:pPr>
            <w:r w:rsidRPr="009D759E">
              <w:rPr>
                <w:rFonts w:ascii="黑体" w:eastAsia="黑体" w:hAnsi="黑体" w:hint="eastAsia"/>
                <w:sz w:val="24"/>
              </w:rPr>
              <w:t>修订</w:t>
            </w:r>
          </w:p>
        </w:tc>
        <w:tc>
          <w:tcPr>
            <w:tcW w:w="709" w:type="dxa"/>
            <w:shd w:val="clear" w:color="auto" w:fill="auto"/>
            <w:vAlign w:val="center"/>
          </w:tcPr>
          <w:p w:rsidR="0086601F" w:rsidRPr="009D759E" w:rsidRDefault="0086601F" w:rsidP="004C35A4">
            <w:pPr>
              <w:snapToGrid w:val="0"/>
              <w:spacing w:line="240" w:lineRule="atLeast"/>
              <w:jc w:val="center"/>
              <w:rPr>
                <w:rFonts w:ascii="黑体" w:eastAsia="黑体" w:hAnsi="黑体"/>
                <w:sz w:val="24"/>
              </w:rPr>
            </w:pPr>
            <w:r w:rsidRPr="009D759E">
              <w:rPr>
                <w:rFonts w:ascii="黑体" w:eastAsia="黑体" w:hAnsi="黑体" w:hint="eastAsia"/>
                <w:sz w:val="24"/>
              </w:rPr>
              <w:t>备注</w:t>
            </w:r>
          </w:p>
        </w:tc>
      </w:tr>
      <w:tr w:rsidR="0086601F" w:rsidRPr="009D759E" w:rsidTr="004C35A4">
        <w:trPr>
          <w:trHeight w:val="1833"/>
          <w:jc w:val="center"/>
        </w:trPr>
        <w:tc>
          <w:tcPr>
            <w:tcW w:w="725"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9</w:t>
            </w:r>
          </w:p>
        </w:tc>
        <w:tc>
          <w:tcPr>
            <w:tcW w:w="1084"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4.1.3</w:t>
            </w:r>
          </w:p>
        </w:tc>
        <w:tc>
          <w:tcPr>
            <w:tcW w:w="5130"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noProof/>
                <w:sz w:val="24"/>
              </w:rPr>
              <w:drawing>
                <wp:inline distT="0" distB="0" distL="0" distR="0" wp14:anchorId="667945F5" wp14:editId="557DBC37">
                  <wp:extent cx="2914650" cy="8953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895350"/>
                          </a:xfrm>
                          <a:prstGeom prst="rect">
                            <a:avLst/>
                          </a:prstGeom>
                          <a:noFill/>
                          <a:ln>
                            <a:noFill/>
                          </a:ln>
                          <a:effectLst/>
                        </pic:spPr>
                      </pic:pic>
                    </a:graphicData>
                  </a:graphic>
                </wp:inline>
              </w:drawing>
            </w:r>
          </w:p>
        </w:tc>
        <w:tc>
          <w:tcPr>
            <w:tcW w:w="6777"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noProof/>
                <w:sz w:val="24"/>
              </w:rPr>
              <w:drawing>
                <wp:inline distT="0" distB="0" distL="0" distR="0" wp14:anchorId="53AA7F9E" wp14:editId="4EEEB0FB">
                  <wp:extent cx="3724275" cy="107632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1076325"/>
                          </a:xfrm>
                          <a:prstGeom prst="rect">
                            <a:avLst/>
                          </a:prstGeom>
                          <a:noFill/>
                          <a:ln>
                            <a:noFill/>
                          </a:ln>
                          <a:effectLst/>
                        </pic:spPr>
                      </pic:pic>
                    </a:graphicData>
                  </a:graphic>
                </wp:inline>
              </w:drawing>
            </w:r>
          </w:p>
        </w:tc>
        <w:tc>
          <w:tcPr>
            <w:tcW w:w="709" w:type="dxa"/>
            <w:shd w:val="clear" w:color="auto" w:fill="auto"/>
            <w:vAlign w:val="center"/>
          </w:tcPr>
          <w:p w:rsidR="0086601F" w:rsidRPr="009D759E" w:rsidRDefault="0086601F" w:rsidP="004C35A4">
            <w:pPr>
              <w:snapToGrid w:val="0"/>
              <w:spacing w:line="240" w:lineRule="atLeast"/>
              <w:jc w:val="center"/>
              <w:rPr>
                <w:rFonts w:ascii="宋体" w:hAnsi="宋体"/>
                <w:sz w:val="24"/>
              </w:rPr>
            </w:pPr>
          </w:p>
        </w:tc>
      </w:tr>
      <w:tr w:rsidR="0086601F" w:rsidRPr="009D759E" w:rsidTr="004C35A4">
        <w:trPr>
          <w:trHeight w:val="1122"/>
          <w:jc w:val="center"/>
        </w:trPr>
        <w:tc>
          <w:tcPr>
            <w:tcW w:w="725"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10</w:t>
            </w:r>
          </w:p>
        </w:tc>
        <w:tc>
          <w:tcPr>
            <w:tcW w:w="1084"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4.1.6</w:t>
            </w:r>
          </w:p>
        </w:tc>
        <w:tc>
          <w:tcPr>
            <w:tcW w:w="5130"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平屋顶的屋顶透明部分的总面积不应大于平屋顶总面积的5%；坡屋顶房间的屋顶设采光窗时，开窗面积不应超过所在房间面积的1/11。</w:t>
            </w:r>
          </w:p>
        </w:tc>
        <w:tc>
          <w:tcPr>
            <w:tcW w:w="6777"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严寒地区居住建筑的屋面天窗与该房间屋面面积的比值不应大于0.10，寒冷地区不应大于0.15。</w:t>
            </w:r>
          </w:p>
        </w:tc>
        <w:tc>
          <w:tcPr>
            <w:tcW w:w="709" w:type="dxa"/>
            <w:shd w:val="clear" w:color="auto" w:fill="auto"/>
            <w:vAlign w:val="center"/>
          </w:tcPr>
          <w:p w:rsidR="0086601F" w:rsidRPr="009D759E" w:rsidRDefault="0086601F" w:rsidP="004C35A4">
            <w:pPr>
              <w:snapToGrid w:val="0"/>
              <w:spacing w:line="240" w:lineRule="atLeast"/>
              <w:jc w:val="center"/>
              <w:rPr>
                <w:rFonts w:ascii="宋体" w:hAnsi="宋体"/>
                <w:sz w:val="24"/>
              </w:rPr>
            </w:pPr>
          </w:p>
        </w:tc>
      </w:tr>
      <w:tr w:rsidR="0086601F" w:rsidRPr="009D759E" w:rsidTr="004C35A4">
        <w:trPr>
          <w:trHeight w:val="840"/>
          <w:jc w:val="center"/>
        </w:trPr>
        <w:tc>
          <w:tcPr>
            <w:tcW w:w="725"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10</w:t>
            </w:r>
          </w:p>
        </w:tc>
        <w:tc>
          <w:tcPr>
            <w:tcW w:w="1084" w:type="dxa"/>
            <w:shd w:val="clear" w:color="auto" w:fill="auto"/>
            <w:vAlign w:val="center"/>
          </w:tcPr>
          <w:p w:rsidR="0086601F" w:rsidRPr="009D759E" w:rsidRDefault="0086601F" w:rsidP="004C35A4">
            <w:pPr>
              <w:snapToGrid w:val="0"/>
              <w:spacing w:line="240" w:lineRule="atLeast"/>
              <w:jc w:val="center"/>
              <w:rPr>
                <w:rFonts w:ascii="宋体" w:hAnsi="宋体"/>
                <w:sz w:val="24"/>
              </w:rPr>
            </w:pPr>
          </w:p>
        </w:tc>
        <w:tc>
          <w:tcPr>
            <w:tcW w:w="5130" w:type="dxa"/>
            <w:shd w:val="clear" w:color="auto" w:fill="auto"/>
            <w:vAlign w:val="center"/>
          </w:tcPr>
          <w:p w:rsidR="0086601F" w:rsidRPr="009D759E" w:rsidRDefault="0086601F" w:rsidP="004C35A4">
            <w:pPr>
              <w:snapToGrid w:val="0"/>
              <w:spacing w:line="240" w:lineRule="atLeast"/>
              <w:rPr>
                <w:rFonts w:ascii="宋体" w:hAnsi="宋体"/>
                <w:sz w:val="24"/>
              </w:rPr>
            </w:pPr>
          </w:p>
        </w:tc>
        <w:tc>
          <w:tcPr>
            <w:tcW w:w="6777"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增加4.1.9  采光窗的</w:t>
            </w:r>
            <w:proofErr w:type="gramStart"/>
            <w:r w:rsidRPr="009D759E">
              <w:rPr>
                <w:rFonts w:ascii="宋体" w:hAnsi="宋体" w:hint="eastAsia"/>
                <w:sz w:val="24"/>
              </w:rPr>
              <w:t>透光折减系数</w:t>
            </w:r>
            <w:proofErr w:type="spellStart"/>
            <w:proofErr w:type="gramEnd"/>
            <w:r w:rsidRPr="009D759E">
              <w:rPr>
                <w:rFonts w:ascii="宋体" w:hAnsi="宋体" w:hint="eastAsia"/>
                <w:sz w:val="24"/>
              </w:rPr>
              <w:t>Tr</w:t>
            </w:r>
            <w:proofErr w:type="spellEnd"/>
            <w:r w:rsidRPr="009D759E">
              <w:rPr>
                <w:rFonts w:ascii="宋体" w:hAnsi="宋体" w:hint="eastAsia"/>
                <w:sz w:val="24"/>
              </w:rPr>
              <w:t>应大于0.45；有采光要求的主要功能房间，室内各表面的加权平均反射比不应低于0.4。</w:t>
            </w:r>
          </w:p>
        </w:tc>
        <w:tc>
          <w:tcPr>
            <w:tcW w:w="709" w:type="dxa"/>
            <w:shd w:val="clear" w:color="auto" w:fill="auto"/>
            <w:vAlign w:val="center"/>
          </w:tcPr>
          <w:p w:rsidR="0086601F" w:rsidRPr="009D759E" w:rsidRDefault="0086601F" w:rsidP="004C35A4">
            <w:pPr>
              <w:snapToGrid w:val="0"/>
              <w:spacing w:line="240" w:lineRule="atLeast"/>
              <w:jc w:val="center"/>
              <w:rPr>
                <w:rFonts w:ascii="宋体" w:hAnsi="宋体"/>
                <w:sz w:val="24"/>
              </w:rPr>
            </w:pPr>
          </w:p>
        </w:tc>
      </w:tr>
      <w:tr w:rsidR="0086601F" w:rsidRPr="009D759E" w:rsidTr="004C35A4">
        <w:trPr>
          <w:trHeight w:val="3247"/>
          <w:jc w:val="center"/>
        </w:trPr>
        <w:tc>
          <w:tcPr>
            <w:tcW w:w="725"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lastRenderedPageBreak/>
              <w:t>15</w:t>
            </w:r>
          </w:p>
        </w:tc>
        <w:tc>
          <w:tcPr>
            <w:tcW w:w="1084"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4.2.4</w:t>
            </w:r>
          </w:p>
        </w:tc>
        <w:tc>
          <w:tcPr>
            <w:tcW w:w="5130" w:type="dxa"/>
            <w:shd w:val="clear" w:color="auto" w:fill="auto"/>
            <w:vAlign w:val="center"/>
          </w:tcPr>
          <w:p w:rsidR="0086601F" w:rsidRPr="009D759E" w:rsidRDefault="0086601F" w:rsidP="004C35A4">
            <w:pPr>
              <w:snapToGrid w:val="0"/>
              <w:spacing w:line="240" w:lineRule="atLeast"/>
              <w:rPr>
                <w:rFonts w:ascii="宋体" w:hAnsi="宋体"/>
                <w:sz w:val="24"/>
              </w:rPr>
            </w:pPr>
          </w:p>
        </w:tc>
        <w:tc>
          <w:tcPr>
            <w:tcW w:w="6777"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第1款第3项后增加第4项：4）当阳台和直接连通的房间之间设置隔墙和门、窗，且所设隔墙、门、窗的热工性能不符合本标准第4.2.1条的规定时，阳台与室外空气接触的墙板、顶板、地板的传热系数不应大于本标准第4.2.1条中所列限值的120％，严寒地区阳台窗的传热系数不应大于2.0W/(m2·K)，寒冷地区阳台窗的传热系数不应大于2.2W/(m2·K)，阳台外表面的</w:t>
            </w:r>
            <w:proofErr w:type="gramStart"/>
            <w:r w:rsidRPr="009D759E">
              <w:rPr>
                <w:rFonts w:ascii="宋体" w:hAnsi="宋体" w:hint="eastAsia"/>
                <w:sz w:val="24"/>
              </w:rPr>
              <w:t>窗墙面积</w:t>
            </w:r>
            <w:proofErr w:type="gramEnd"/>
            <w:r w:rsidRPr="009D759E">
              <w:rPr>
                <w:rFonts w:ascii="宋体" w:hAnsi="宋体" w:hint="eastAsia"/>
                <w:sz w:val="24"/>
              </w:rPr>
              <w:t>比不应大于0.60，阳台和直接连通房间隔墙的</w:t>
            </w:r>
            <w:proofErr w:type="gramStart"/>
            <w:r w:rsidRPr="009D759E">
              <w:rPr>
                <w:rFonts w:ascii="宋体" w:hAnsi="宋体" w:hint="eastAsia"/>
                <w:sz w:val="24"/>
              </w:rPr>
              <w:t>窗墙面积</w:t>
            </w:r>
            <w:proofErr w:type="gramEnd"/>
            <w:r w:rsidRPr="009D759E">
              <w:rPr>
                <w:rFonts w:ascii="宋体" w:hAnsi="宋体" w:hint="eastAsia"/>
                <w:sz w:val="24"/>
              </w:rPr>
              <w:t>比不应超过本标准表4.1.4的限值。当阳台的面宽小于直接连通房间的开间宽度时，可按房间的开间计算隔墙的</w:t>
            </w:r>
            <w:proofErr w:type="gramStart"/>
            <w:r w:rsidRPr="009D759E">
              <w:rPr>
                <w:rFonts w:ascii="宋体" w:hAnsi="宋体" w:hint="eastAsia"/>
                <w:sz w:val="24"/>
              </w:rPr>
              <w:t>窗墙面积</w:t>
            </w:r>
            <w:proofErr w:type="gramEnd"/>
            <w:r w:rsidRPr="009D759E">
              <w:rPr>
                <w:rFonts w:ascii="宋体" w:hAnsi="宋体" w:hint="eastAsia"/>
                <w:sz w:val="24"/>
              </w:rPr>
              <w:t>比。</w:t>
            </w:r>
          </w:p>
        </w:tc>
        <w:tc>
          <w:tcPr>
            <w:tcW w:w="709" w:type="dxa"/>
            <w:shd w:val="clear" w:color="auto" w:fill="auto"/>
            <w:vAlign w:val="center"/>
          </w:tcPr>
          <w:p w:rsidR="0086601F" w:rsidRPr="009D759E" w:rsidRDefault="0086601F" w:rsidP="004C35A4">
            <w:pPr>
              <w:snapToGrid w:val="0"/>
              <w:spacing w:line="240" w:lineRule="atLeast"/>
              <w:jc w:val="center"/>
              <w:rPr>
                <w:rFonts w:ascii="宋体" w:hAnsi="宋体"/>
                <w:sz w:val="24"/>
              </w:rPr>
            </w:pPr>
          </w:p>
        </w:tc>
      </w:tr>
      <w:tr w:rsidR="0086601F" w:rsidRPr="009D759E" w:rsidTr="004C35A4">
        <w:trPr>
          <w:trHeight w:val="1336"/>
          <w:jc w:val="center"/>
        </w:trPr>
        <w:tc>
          <w:tcPr>
            <w:tcW w:w="725"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18</w:t>
            </w:r>
          </w:p>
        </w:tc>
        <w:tc>
          <w:tcPr>
            <w:tcW w:w="1084"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4.3.1</w:t>
            </w:r>
          </w:p>
        </w:tc>
        <w:tc>
          <w:tcPr>
            <w:tcW w:w="11907" w:type="dxa"/>
            <w:gridSpan w:val="2"/>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围护结构热工性能参数限值，当外窗传热系数不满足本标准规定时，可加强屋面和外墙保温隔热性能，按JGJ26-2018中参数限值执行；当建筑的南向外窗</w:t>
            </w:r>
            <w:proofErr w:type="gramStart"/>
            <w:r w:rsidRPr="009D759E">
              <w:rPr>
                <w:rFonts w:ascii="宋体" w:hAnsi="宋体" w:hint="eastAsia"/>
                <w:sz w:val="24"/>
              </w:rPr>
              <w:t>窗</w:t>
            </w:r>
            <w:proofErr w:type="gramEnd"/>
            <w:r w:rsidRPr="009D759E">
              <w:rPr>
                <w:rFonts w:ascii="宋体" w:hAnsi="宋体" w:hint="eastAsia"/>
                <w:sz w:val="24"/>
              </w:rPr>
              <w:t>墙比不满足本标准要求、或建筑围护结构热工性能参数与JGJ26-2018和本标准限值要求相比均不满足时，必须按JGJ26-2018中对比评定法计算建筑物供暖能耗进行权衡判断，且必须满足JGJ26-2018规定的权衡判断基本要求。</w:t>
            </w:r>
          </w:p>
        </w:tc>
        <w:tc>
          <w:tcPr>
            <w:tcW w:w="709" w:type="dxa"/>
            <w:shd w:val="clear" w:color="auto" w:fill="auto"/>
            <w:vAlign w:val="center"/>
          </w:tcPr>
          <w:p w:rsidR="0086601F" w:rsidRPr="009D759E" w:rsidRDefault="0086601F" w:rsidP="004C35A4">
            <w:pPr>
              <w:snapToGrid w:val="0"/>
              <w:spacing w:line="240" w:lineRule="atLeast"/>
              <w:jc w:val="center"/>
              <w:rPr>
                <w:rFonts w:ascii="宋体" w:hAnsi="宋体"/>
                <w:sz w:val="24"/>
              </w:rPr>
            </w:pPr>
          </w:p>
        </w:tc>
      </w:tr>
      <w:tr w:rsidR="0086601F" w:rsidRPr="009D759E" w:rsidTr="004C35A4">
        <w:trPr>
          <w:trHeight w:val="5110"/>
          <w:jc w:val="center"/>
        </w:trPr>
        <w:tc>
          <w:tcPr>
            <w:tcW w:w="725"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lastRenderedPageBreak/>
              <w:t>24</w:t>
            </w:r>
          </w:p>
        </w:tc>
        <w:tc>
          <w:tcPr>
            <w:tcW w:w="1084"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5.2.3</w:t>
            </w:r>
          </w:p>
        </w:tc>
        <w:tc>
          <w:tcPr>
            <w:tcW w:w="5130"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锅炉的选型，应与当地长期供应的燃料种类相适应。名义工况下锅炉的热效率不应低于表5.2.3规定的数值。</w:t>
            </w:r>
          </w:p>
          <w:p w:rsidR="0086601F" w:rsidRPr="009D759E" w:rsidRDefault="0086601F" w:rsidP="004C35A4">
            <w:pPr>
              <w:snapToGrid w:val="0"/>
              <w:spacing w:line="240" w:lineRule="atLeast"/>
              <w:rPr>
                <w:rFonts w:ascii="宋体" w:hAnsi="宋体"/>
                <w:sz w:val="24"/>
              </w:rPr>
            </w:pPr>
            <w:r w:rsidRPr="009D759E">
              <w:rPr>
                <w:rFonts w:ascii="宋体" w:hAnsi="宋体" w:hint="eastAsia"/>
                <w:noProof/>
                <w:sz w:val="24"/>
              </w:rPr>
              <w:drawing>
                <wp:inline distT="0" distB="0" distL="0" distR="0" wp14:anchorId="36086C32" wp14:editId="7C2B79ED">
                  <wp:extent cx="3028950" cy="2562225"/>
                  <wp:effectExtent l="0" t="0" r="0" b="9525"/>
                  <wp:docPr id="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8950" cy="2562225"/>
                          </a:xfrm>
                          <a:prstGeom prst="rect">
                            <a:avLst/>
                          </a:prstGeom>
                          <a:noFill/>
                          <a:ln>
                            <a:noFill/>
                          </a:ln>
                        </pic:spPr>
                      </pic:pic>
                    </a:graphicData>
                  </a:graphic>
                </wp:inline>
              </w:drawing>
            </w:r>
          </w:p>
        </w:tc>
        <w:tc>
          <w:tcPr>
            <w:tcW w:w="6777"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锅炉的选型，应与当地长期供应的燃料种类相适应。在名义工况和规定条件下，锅炉的设计热效率不应低于表5.2.3的数值。</w:t>
            </w:r>
          </w:p>
          <w:p w:rsidR="0086601F" w:rsidRPr="009D759E" w:rsidRDefault="0086601F" w:rsidP="004C35A4">
            <w:pPr>
              <w:snapToGrid w:val="0"/>
              <w:spacing w:line="240" w:lineRule="atLeast"/>
              <w:rPr>
                <w:rFonts w:ascii="宋体" w:hAnsi="宋体"/>
                <w:sz w:val="24"/>
              </w:rPr>
            </w:pPr>
            <w:r w:rsidRPr="009D759E">
              <w:rPr>
                <w:rFonts w:ascii="宋体" w:hAnsi="宋体" w:hint="eastAsia"/>
                <w:noProof/>
                <w:sz w:val="24"/>
              </w:rPr>
              <w:drawing>
                <wp:inline distT="0" distB="0" distL="0" distR="0" wp14:anchorId="2AF1690B" wp14:editId="0A578CDD">
                  <wp:extent cx="3781425" cy="1685925"/>
                  <wp:effectExtent l="0" t="0" r="9525" b="9525"/>
                  <wp:docPr id="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1425" cy="1685925"/>
                          </a:xfrm>
                          <a:prstGeom prst="rect">
                            <a:avLst/>
                          </a:prstGeom>
                          <a:noFill/>
                          <a:ln>
                            <a:noFill/>
                          </a:ln>
                        </pic:spPr>
                      </pic:pic>
                    </a:graphicData>
                  </a:graphic>
                </wp:inline>
              </w:drawing>
            </w:r>
          </w:p>
        </w:tc>
        <w:tc>
          <w:tcPr>
            <w:tcW w:w="709" w:type="dxa"/>
            <w:shd w:val="clear" w:color="auto" w:fill="auto"/>
            <w:vAlign w:val="center"/>
          </w:tcPr>
          <w:p w:rsidR="0086601F" w:rsidRPr="009D759E" w:rsidRDefault="0086601F" w:rsidP="004C35A4">
            <w:pPr>
              <w:snapToGrid w:val="0"/>
              <w:spacing w:line="240" w:lineRule="atLeast"/>
              <w:jc w:val="center"/>
              <w:rPr>
                <w:rFonts w:ascii="宋体" w:hAnsi="宋体"/>
                <w:sz w:val="24"/>
              </w:rPr>
            </w:pPr>
          </w:p>
        </w:tc>
      </w:tr>
      <w:tr w:rsidR="0086601F" w:rsidRPr="009D759E" w:rsidTr="004C35A4">
        <w:trPr>
          <w:trHeight w:val="1680"/>
          <w:jc w:val="center"/>
        </w:trPr>
        <w:tc>
          <w:tcPr>
            <w:tcW w:w="725"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28</w:t>
            </w:r>
          </w:p>
        </w:tc>
        <w:tc>
          <w:tcPr>
            <w:tcW w:w="1084"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5.3.2</w:t>
            </w:r>
          </w:p>
        </w:tc>
        <w:tc>
          <w:tcPr>
            <w:tcW w:w="5130"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室</w:t>
            </w:r>
            <w:r w:rsidRPr="009D759E">
              <w:rPr>
                <w:rFonts w:ascii="宋体" w:hAnsi="宋体" w:hint="eastAsia"/>
                <w:spacing w:val="-2"/>
                <w:sz w:val="24"/>
              </w:rPr>
              <w:t>外管网应进行严格的水力平衡计算。当室外管网通过阀门截流来进行阻力平衡时，各并联环路之间的压力损失差值，不应大于15%。当室外管网水力平衡计算达不到上述要求时，应在热力站和建筑物热力入口处设置静态水力平衡阀。</w:t>
            </w:r>
          </w:p>
        </w:tc>
        <w:tc>
          <w:tcPr>
            <w:tcW w:w="6777"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室外管网应进行水力平衡计算，且应在热力站和建筑物热力入口处设置水力平衡装置。</w:t>
            </w:r>
          </w:p>
        </w:tc>
        <w:tc>
          <w:tcPr>
            <w:tcW w:w="709" w:type="dxa"/>
            <w:shd w:val="clear" w:color="auto" w:fill="auto"/>
            <w:vAlign w:val="center"/>
          </w:tcPr>
          <w:p w:rsidR="0086601F" w:rsidRPr="009D759E" w:rsidRDefault="0086601F" w:rsidP="004C35A4">
            <w:pPr>
              <w:snapToGrid w:val="0"/>
              <w:spacing w:line="240" w:lineRule="atLeast"/>
              <w:jc w:val="center"/>
              <w:rPr>
                <w:rFonts w:ascii="宋体" w:hAnsi="宋体"/>
                <w:sz w:val="24"/>
              </w:rPr>
            </w:pPr>
          </w:p>
        </w:tc>
      </w:tr>
      <w:tr w:rsidR="0086601F" w:rsidRPr="009D759E" w:rsidTr="004C35A4">
        <w:trPr>
          <w:trHeight w:val="4455"/>
          <w:jc w:val="center"/>
        </w:trPr>
        <w:tc>
          <w:tcPr>
            <w:tcW w:w="725"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lastRenderedPageBreak/>
              <w:t>33</w:t>
            </w:r>
          </w:p>
        </w:tc>
        <w:tc>
          <w:tcPr>
            <w:tcW w:w="1084"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5.5.3</w:t>
            </w:r>
          </w:p>
        </w:tc>
        <w:tc>
          <w:tcPr>
            <w:tcW w:w="5130"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采用电机驱动压缩机的</w:t>
            </w:r>
            <w:proofErr w:type="gramStart"/>
            <w:r w:rsidRPr="009D759E">
              <w:rPr>
                <w:rFonts w:ascii="宋体" w:hAnsi="宋体" w:hint="eastAsia"/>
                <w:sz w:val="24"/>
              </w:rPr>
              <w:t>蒸气</w:t>
            </w:r>
            <w:proofErr w:type="gramEnd"/>
            <w:r w:rsidRPr="009D759E">
              <w:rPr>
                <w:rFonts w:ascii="宋体" w:hAnsi="宋体" w:hint="eastAsia"/>
                <w:sz w:val="24"/>
              </w:rPr>
              <w:t>压缩循环冷水（热泵）机组或采用名义制冷量大于7100W的电机驱动压缩机单元式空气调节机作为住宅小区或整栋楼的冷热源机组时，所选用机组的能效比（性能系数）不应低于现行国家标准《公共建筑节能设计标准》GB50189中规定值；当设计采用多联式空调（热泵）机组</w:t>
            </w:r>
            <w:proofErr w:type="gramStart"/>
            <w:r w:rsidRPr="009D759E">
              <w:rPr>
                <w:rFonts w:ascii="宋体" w:hAnsi="宋体" w:hint="eastAsia"/>
                <w:sz w:val="24"/>
              </w:rPr>
              <w:t>作为户式集中</w:t>
            </w:r>
            <w:proofErr w:type="gramEnd"/>
            <w:r w:rsidRPr="009D759E">
              <w:rPr>
                <w:rFonts w:ascii="宋体" w:hAnsi="宋体" w:hint="eastAsia"/>
                <w:sz w:val="24"/>
              </w:rPr>
              <w:t>空调（采暖）机组时，所选用机组的制冷综合性能系数不应低于国家标准《多联式空调（热泵）机组能效限定值及能源效率等级》GB21454中规定的第2级。</w:t>
            </w:r>
          </w:p>
        </w:tc>
        <w:tc>
          <w:tcPr>
            <w:tcW w:w="6777"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当采用多联机空调系统或其他形式集中空调系统时，空调系统冷源能效和输</w:t>
            </w:r>
            <w:proofErr w:type="gramStart"/>
            <w:r w:rsidRPr="009D759E">
              <w:rPr>
                <w:rFonts w:ascii="宋体" w:hAnsi="宋体" w:hint="eastAsia"/>
                <w:sz w:val="24"/>
              </w:rPr>
              <w:t>配系统能效应</w:t>
            </w:r>
            <w:proofErr w:type="gramEnd"/>
            <w:r w:rsidRPr="009D759E">
              <w:rPr>
                <w:rFonts w:ascii="宋体" w:hAnsi="宋体" w:hint="eastAsia"/>
                <w:sz w:val="24"/>
              </w:rPr>
              <w:t>满足现行国家标准《公共建筑节能设计标准》GB50189的规定值。</w:t>
            </w:r>
          </w:p>
        </w:tc>
        <w:tc>
          <w:tcPr>
            <w:tcW w:w="709" w:type="dxa"/>
            <w:shd w:val="clear" w:color="auto" w:fill="auto"/>
            <w:vAlign w:val="center"/>
          </w:tcPr>
          <w:p w:rsidR="0086601F" w:rsidRPr="009D759E" w:rsidRDefault="0086601F" w:rsidP="004C35A4">
            <w:pPr>
              <w:snapToGrid w:val="0"/>
              <w:spacing w:line="240" w:lineRule="atLeast"/>
              <w:jc w:val="center"/>
              <w:rPr>
                <w:rFonts w:ascii="宋体" w:hAnsi="宋体"/>
                <w:sz w:val="24"/>
              </w:rPr>
            </w:pPr>
          </w:p>
        </w:tc>
      </w:tr>
      <w:tr w:rsidR="0086601F" w:rsidRPr="009D759E" w:rsidTr="004C35A4">
        <w:trPr>
          <w:trHeight w:val="1979"/>
          <w:jc w:val="center"/>
        </w:trPr>
        <w:tc>
          <w:tcPr>
            <w:tcW w:w="725"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48</w:t>
            </w:r>
          </w:p>
        </w:tc>
        <w:tc>
          <w:tcPr>
            <w:tcW w:w="1084" w:type="dxa"/>
            <w:shd w:val="clear" w:color="auto" w:fill="auto"/>
            <w:vAlign w:val="center"/>
          </w:tcPr>
          <w:p w:rsidR="0086601F" w:rsidRPr="009D759E" w:rsidRDefault="0086601F" w:rsidP="004C35A4">
            <w:pPr>
              <w:snapToGrid w:val="0"/>
              <w:spacing w:line="240" w:lineRule="atLeast"/>
              <w:jc w:val="center"/>
              <w:rPr>
                <w:rFonts w:ascii="宋体" w:hAnsi="宋体"/>
                <w:sz w:val="24"/>
              </w:rPr>
            </w:pPr>
            <w:r w:rsidRPr="009D759E">
              <w:rPr>
                <w:rFonts w:ascii="宋体" w:hAnsi="宋体" w:hint="eastAsia"/>
                <w:sz w:val="24"/>
              </w:rPr>
              <w:t>8.5.4</w:t>
            </w:r>
          </w:p>
        </w:tc>
        <w:tc>
          <w:tcPr>
            <w:tcW w:w="5130"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对于太阳能光伏发电系统，在建筑设计中应将光伏发电作为建筑元素加以组合设计，不应破坏建筑整体效果。</w:t>
            </w:r>
          </w:p>
        </w:tc>
        <w:tc>
          <w:tcPr>
            <w:tcW w:w="6777" w:type="dxa"/>
            <w:shd w:val="clear" w:color="auto" w:fill="auto"/>
            <w:vAlign w:val="center"/>
          </w:tcPr>
          <w:p w:rsidR="0086601F" w:rsidRPr="009D759E" w:rsidRDefault="0086601F" w:rsidP="004C35A4">
            <w:pPr>
              <w:snapToGrid w:val="0"/>
              <w:spacing w:line="240" w:lineRule="atLeast"/>
              <w:rPr>
                <w:rFonts w:ascii="宋体" w:hAnsi="宋体"/>
                <w:sz w:val="24"/>
              </w:rPr>
            </w:pPr>
            <w:r w:rsidRPr="009D759E">
              <w:rPr>
                <w:rFonts w:ascii="宋体" w:hAnsi="宋体" w:hint="eastAsia"/>
                <w:sz w:val="24"/>
              </w:rPr>
              <w:t>建筑物上安装太阳能热利用或太阳能光伏发电系统，不得降低</w:t>
            </w:r>
            <w:proofErr w:type="gramStart"/>
            <w:r w:rsidRPr="009D759E">
              <w:rPr>
                <w:rFonts w:ascii="宋体" w:hAnsi="宋体" w:hint="eastAsia"/>
                <w:sz w:val="24"/>
              </w:rPr>
              <w:t>本建筑</w:t>
            </w:r>
            <w:proofErr w:type="gramEnd"/>
            <w:r w:rsidRPr="009D759E">
              <w:rPr>
                <w:rFonts w:ascii="宋体" w:hAnsi="宋体" w:hint="eastAsia"/>
                <w:sz w:val="24"/>
              </w:rPr>
              <w:t>和相邻建筑的日照标准。对于太阳能光伏发电系统，在建筑设计中应将光伏发电作为建筑元素加以组合设计，不应破坏建筑整体效果。</w:t>
            </w:r>
          </w:p>
        </w:tc>
        <w:tc>
          <w:tcPr>
            <w:tcW w:w="709" w:type="dxa"/>
            <w:shd w:val="clear" w:color="auto" w:fill="auto"/>
            <w:vAlign w:val="center"/>
          </w:tcPr>
          <w:p w:rsidR="0086601F" w:rsidRPr="009D759E" w:rsidRDefault="0086601F" w:rsidP="004C35A4">
            <w:pPr>
              <w:snapToGrid w:val="0"/>
              <w:spacing w:line="240" w:lineRule="atLeast"/>
              <w:jc w:val="center"/>
              <w:rPr>
                <w:rFonts w:ascii="宋体" w:hAnsi="宋体"/>
                <w:sz w:val="24"/>
              </w:rPr>
            </w:pPr>
          </w:p>
        </w:tc>
      </w:tr>
    </w:tbl>
    <w:p w:rsidR="0086601F" w:rsidRDefault="0086601F" w:rsidP="0086601F">
      <w:r>
        <w:rPr>
          <w:rFonts w:hint="eastAsia"/>
        </w:rPr>
        <w:t xml:space="preserve"> </w:t>
      </w:r>
    </w:p>
    <w:p w:rsidR="005D4888" w:rsidRPr="0086601F" w:rsidRDefault="005D4888">
      <w:bookmarkStart w:id="0" w:name="_GoBack"/>
      <w:bookmarkEnd w:id="0"/>
    </w:p>
    <w:sectPr w:rsidR="005D4888" w:rsidRPr="0086601F" w:rsidSect="009D759E">
      <w:footerReference w:type="even" r:id="rId12"/>
      <w:footerReference w:type="default" r:id="rId13"/>
      <w:pgSz w:w="16838" w:h="11906" w:orient="landscape" w:code="9"/>
      <w:pgMar w:top="1588" w:right="1418" w:bottom="1531" w:left="1418" w:header="851" w:footer="1134" w:gutter="0"/>
      <w:pgNumType w:fmt="numberInDash"/>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0E9" w:rsidRDefault="00ED50E9" w:rsidP="0086601F">
      <w:r>
        <w:separator/>
      </w:r>
    </w:p>
  </w:endnote>
  <w:endnote w:type="continuationSeparator" w:id="0">
    <w:p w:rsidR="00ED50E9" w:rsidRDefault="00ED50E9" w:rsidP="00866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01F" w:rsidRPr="00045B94" w:rsidRDefault="0086601F" w:rsidP="00FC6B8D">
    <w:pPr>
      <w:pStyle w:val="a4"/>
      <w:framePr w:wrap="around" w:vAnchor="text" w:hAnchor="margin" w:xAlign="outside" w:y="1"/>
      <w:rPr>
        <w:rStyle w:val="a5"/>
        <w:rFonts w:ascii="宋体" w:hAnsi="宋体"/>
        <w:sz w:val="28"/>
        <w:szCs w:val="28"/>
      </w:rPr>
    </w:pPr>
    <w:r w:rsidRPr="00045B94">
      <w:rPr>
        <w:rStyle w:val="a5"/>
        <w:rFonts w:ascii="宋体" w:hAnsi="宋体"/>
        <w:sz w:val="28"/>
        <w:szCs w:val="28"/>
      </w:rPr>
      <w:fldChar w:fldCharType="begin"/>
    </w:r>
    <w:r w:rsidRPr="00045B94">
      <w:rPr>
        <w:rStyle w:val="a5"/>
        <w:rFonts w:ascii="宋体" w:hAnsi="宋体"/>
        <w:sz w:val="28"/>
        <w:szCs w:val="28"/>
      </w:rPr>
      <w:instrText xml:space="preserve">PAGE  </w:instrText>
    </w:r>
    <w:r w:rsidRPr="00045B94">
      <w:rPr>
        <w:rStyle w:val="a5"/>
        <w:rFonts w:ascii="宋体" w:hAnsi="宋体"/>
        <w:sz w:val="28"/>
        <w:szCs w:val="28"/>
      </w:rPr>
      <w:fldChar w:fldCharType="separate"/>
    </w:r>
    <w:r>
      <w:rPr>
        <w:rStyle w:val="a5"/>
        <w:rFonts w:ascii="宋体" w:hAnsi="宋体"/>
        <w:noProof/>
        <w:sz w:val="28"/>
        <w:szCs w:val="28"/>
      </w:rPr>
      <w:t>- 2 -</w:t>
    </w:r>
    <w:r w:rsidRPr="00045B94">
      <w:rPr>
        <w:rStyle w:val="a5"/>
        <w:rFonts w:ascii="宋体" w:hAnsi="宋体"/>
        <w:sz w:val="28"/>
        <w:szCs w:val="28"/>
      </w:rPr>
      <w:fldChar w:fldCharType="end"/>
    </w:r>
  </w:p>
  <w:p w:rsidR="0086601F" w:rsidRPr="00045B94" w:rsidRDefault="0086601F" w:rsidP="0034005D">
    <w:pPr>
      <w:pStyle w:val="a4"/>
      <w:ind w:right="360" w:firstLine="360"/>
      <w:rPr>
        <w:rFonts w:ascii="宋体" w:hAnsi="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01F" w:rsidRPr="00045B94" w:rsidRDefault="0086601F">
    <w:pPr>
      <w:pStyle w:val="a4"/>
      <w:jc w:val="right"/>
      <w:rPr>
        <w:rFonts w:ascii="宋体" w:hAnsi="宋体"/>
        <w:sz w:val="28"/>
        <w:szCs w:val="28"/>
      </w:rPr>
    </w:pPr>
    <w:r w:rsidRPr="00045B94">
      <w:rPr>
        <w:rFonts w:ascii="宋体" w:hAnsi="宋体"/>
        <w:sz w:val="28"/>
        <w:szCs w:val="28"/>
      </w:rPr>
      <w:fldChar w:fldCharType="begin"/>
    </w:r>
    <w:r w:rsidRPr="00045B94">
      <w:rPr>
        <w:rFonts w:ascii="宋体" w:hAnsi="宋体"/>
        <w:sz w:val="28"/>
        <w:szCs w:val="28"/>
      </w:rPr>
      <w:instrText>PAGE   \* MERGEFORMAT</w:instrText>
    </w:r>
    <w:r w:rsidRPr="00045B94">
      <w:rPr>
        <w:rFonts w:ascii="宋体" w:hAnsi="宋体"/>
        <w:sz w:val="28"/>
        <w:szCs w:val="28"/>
      </w:rPr>
      <w:fldChar w:fldCharType="separate"/>
    </w:r>
    <w:r w:rsidRPr="0086601F">
      <w:rPr>
        <w:rFonts w:ascii="宋体" w:hAnsi="宋体"/>
        <w:noProof/>
        <w:sz w:val="28"/>
        <w:szCs w:val="28"/>
        <w:lang w:val="zh-CN"/>
      </w:rPr>
      <w:t>-</w:t>
    </w:r>
    <w:r>
      <w:rPr>
        <w:rFonts w:ascii="宋体" w:hAnsi="宋体"/>
        <w:noProof/>
        <w:sz w:val="28"/>
        <w:szCs w:val="28"/>
      </w:rPr>
      <w:t xml:space="preserve"> 2 -</w:t>
    </w:r>
    <w:r w:rsidRPr="00045B94">
      <w:rPr>
        <w:rFonts w:ascii="宋体" w:hAnsi="宋体"/>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59E" w:rsidRPr="009D759E" w:rsidRDefault="00ED50E9">
    <w:pPr>
      <w:pStyle w:val="a4"/>
      <w:jc w:val="center"/>
      <w:rPr>
        <w:rFonts w:ascii="宋体" w:hAnsi="宋体"/>
        <w:sz w:val="28"/>
        <w:szCs w:val="28"/>
      </w:rPr>
    </w:pPr>
    <w:r w:rsidRPr="009D759E">
      <w:rPr>
        <w:rFonts w:ascii="宋体" w:hAnsi="宋体"/>
        <w:sz w:val="28"/>
        <w:szCs w:val="28"/>
      </w:rPr>
      <w:fldChar w:fldCharType="begin"/>
    </w:r>
    <w:r w:rsidRPr="009D759E">
      <w:rPr>
        <w:rFonts w:ascii="宋体" w:hAnsi="宋体"/>
        <w:sz w:val="28"/>
        <w:szCs w:val="28"/>
      </w:rPr>
      <w:instrText>PAGE   \* MERGEFORMAT</w:instrText>
    </w:r>
    <w:r w:rsidRPr="009D759E">
      <w:rPr>
        <w:rFonts w:ascii="宋体" w:hAnsi="宋体"/>
        <w:sz w:val="28"/>
        <w:szCs w:val="28"/>
      </w:rPr>
      <w:fldChar w:fldCharType="separate"/>
    </w:r>
    <w:r w:rsidRPr="006679BC">
      <w:rPr>
        <w:rFonts w:ascii="宋体" w:hAnsi="宋体"/>
        <w:noProof/>
        <w:sz w:val="28"/>
        <w:szCs w:val="28"/>
        <w:lang w:val="zh-CN"/>
      </w:rPr>
      <w:t>-</w:t>
    </w:r>
    <w:r>
      <w:rPr>
        <w:rFonts w:ascii="宋体" w:hAnsi="宋体"/>
        <w:noProof/>
        <w:sz w:val="28"/>
        <w:szCs w:val="28"/>
      </w:rPr>
      <w:t xml:space="preserve"> 6 -</w:t>
    </w:r>
    <w:r w:rsidRPr="009D759E">
      <w:rPr>
        <w:rFonts w:ascii="宋体" w:hAnsi="宋体"/>
        <w:sz w:val="28"/>
        <w:szCs w:val="2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59E" w:rsidRPr="009D759E" w:rsidRDefault="00ED50E9">
    <w:pPr>
      <w:pStyle w:val="a4"/>
      <w:jc w:val="center"/>
      <w:rPr>
        <w:rFonts w:ascii="宋体" w:hAnsi="宋体"/>
        <w:sz w:val="28"/>
        <w:szCs w:val="28"/>
      </w:rPr>
    </w:pPr>
    <w:r w:rsidRPr="009D759E">
      <w:rPr>
        <w:rFonts w:ascii="宋体" w:hAnsi="宋体"/>
        <w:sz w:val="28"/>
        <w:szCs w:val="28"/>
      </w:rPr>
      <w:fldChar w:fldCharType="begin"/>
    </w:r>
    <w:r w:rsidRPr="009D759E">
      <w:rPr>
        <w:rFonts w:ascii="宋体" w:hAnsi="宋体"/>
        <w:sz w:val="28"/>
        <w:szCs w:val="28"/>
      </w:rPr>
      <w:instrText>PAGE   \* MERGEFORMAT</w:instrText>
    </w:r>
    <w:r w:rsidRPr="009D759E">
      <w:rPr>
        <w:rFonts w:ascii="宋体" w:hAnsi="宋体"/>
        <w:sz w:val="28"/>
        <w:szCs w:val="28"/>
      </w:rPr>
      <w:fldChar w:fldCharType="separate"/>
    </w:r>
    <w:r w:rsidR="0086601F" w:rsidRPr="0086601F">
      <w:rPr>
        <w:rFonts w:ascii="宋体" w:hAnsi="宋体"/>
        <w:noProof/>
        <w:sz w:val="28"/>
        <w:szCs w:val="28"/>
        <w:lang w:val="zh-CN"/>
      </w:rPr>
      <w:t>-</w:t>
    </w:r>
    <w:r w:rsidR="0086601F">
      <w:rPr>
        <w:rFonts w:ascii="宋体" w:hAnsi="宋体"/>
        <w:noProof/>
        <w:sz w:val="28"/>
        <w:szCs w:val="28"/>
      </w:rPr>
      <w:t xml:space="preserve"> 6 -</w:t>
    </w:r>
    <w:r w:rsidRPr="009D759E">
      <w:rPr>
        <w:rFonts w:ascii="宋体" w:hAnsi="宋体"/>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0E9" w:rsidRDefault="00ED50E9" w:rsidP="0086601F">
      <w:r>
        <w:separator/>
      </w:r>
    </w:p>
  </w:footnote>
  <w:footnote w:type="continuationSeparator" w:id="0">
    <w:p w:rsidR="00ED50E9" w:rsidRDefault="00ED50E9" w:rsidP="008660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DD2"/>
    <w:rsid w:val="005D4888"/>
    <w:rsid w:val="0086601F"/>
    <w:rsid w:val="00A30DD2"/>
    <w:rsid w:val="00ED50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6F4C1CA-4F61-4DA5-B4FB-52CBBACE1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01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6601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86601F"/>
    <w:rPr>
      <w:sz w:val="18"/>
      <w:szCs w:val="18"/>
    </w:rPr>
  </w:style>
  <w:style w:type="paragraph" w:styleId="a4">
    <w:name w:val="footer"/>
    <w:basedOn w:val="a"/>
    <w:link w:val="Char0"/>
    <w:uiPriority w:val="99"/>
    <w:unhideWhenUsed/>
    <w:rsid w:val="0086601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86601F"/>
    <w:rPr>
      <w:sz w:val="18"/>
      <w:szCs w:val="18"/>
    </w:rPr>
  </w:style>
  <w:style w:type="character" w:styleId="a5">
    <w:name w:val="page number"/>
    <w:basedOn w:val="a0"/>
    <w:rsid w:val="008660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333</Words>
  <Characters>1899</Characters>
  <Application>Microsoft Office Word</Application>
  <DocSecurity>0</DocSecurity>
  <Lines>15</Lines>
  <Paragraphs>4</Paragraphs>
  <ScaleCrop>false</ScaleCrop>
  <Company>Microsoft</Company>
  <LinksUpToDate>false</LinksUpToDate>
  <CharactersWithSpaces>2228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刘笑羽</dc:creator>
  <cp:keywords/>
  <dc:description/>
  <cp:lastModifiedBy>刘笑羽</cp:lastModifiedBy>
  <cp:revision>2</cp:revision>
  <dcterms:created xsi:type="dcterms:W3CDTF">2020-06-04T07:08:00Z</dcterms:created>
  <dcterms:modified xsi:type="dcterms:W3CDTF">2020-06-04T07:09:00Z</dcterms:modified>
</cp:coreProperties>
</file>